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ind w:right="-720"/>
        <w:jc w:val="center"/>
        <w:rPr>
          <w:rFonts w:ascii="Quicksand" w:cs="Quicksand" w:eastAsia="Quicksand" w:hAnsi="Quicksand"/>
          <w:sz w:val="32"/>
          <w:szCs w:val="32"/>
          <w:u w:val="single"/>
        </w:rPr>
      </w:pPr>
      <w:r w:rsidDel="00000000" w:rsidR="00000000" w:rsidRPr="00000000">
        <w:rPr>
          <w:rFonts w:ascii="Quicksand" w:cs="Quicksand" w:eastAsia="Quicksand" w:hAnsi="Quicksand"/>
          <w:sz w:val="32"/>
          <w:szCs w:val="32"/>
          <w:u w:val="single"/>
          <w:rtl w:val="0"/>
        </w:rPr>
        <w:t xml:space="preserve">Dominant SWW Narratives.</w:t>
      </w:r>
    </w:p>
    <w:p w:rsidR="00000000" w:rsidDel="00000000" w:rsidP="00000000" w:rsidRDefault="00000000" w:rsidRPr="00000000" w14:paraId="00000003">
      <w:pPr>
        <w:ind w:right="-720"/>
        <w:jc w:val="center"/>
        <w:rPr>
          <w:rFonts w:ascii="Quicksand" w:cs="Quicksand" w:eastAsia="Quicksand" w:hAnsi="Quicksand"/>
          <w:sz w:val="32"/>
          <w:szCs w:val="32"/>
          <w:u w:val="single"/>
        </w:rPr>
      </w:pPr>
      <w:r w:rsidDel="00000000" w:rsidR="00000000" w:rsidRPr="00000000">
        <w:rPr>
          <w:rFonts w:ascii="Quicksand" w:cs="Quicksand" w:eastAsia="Quicksand" w:hAnsi="Quicksand"/>
          <w:sz w:val="32"/>
          <w:szCs w:val="32"/>
          <w:u w:val="single"/>
          <w:rtl w:val="0"/>
        </w:rPr>
        <w:t xml:space="preserve">Was it all about Dunkirk, the Blitz, the Battle of Britain and D Day?</w:t>
      </w:r>
    </w:p>
    <w:p w:rsidR="00000000" w:rsidDel="00000000" w:rsidP="00000000" w:rsidRDefault="00000000" w:rsidRPr="00000000" w14:paraId="00000004">
      <w:pPr>
        <w:ind w:right="-72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right="-72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In British schools when studying the SWW there is a overwhelming focus on the Home and  Western Front and the experience of British civilians and military. The dominant narrative is one of resilience, persistence, heroism in a just war against a barbaric enemy.  There is no doubt that this is a significant part of the British SWW narrative and it is well documented by the evidence including photographs, oral testimony, letters, poetry, archive film footage and art to name just a few of the sources. The evidence tells us about</w:t>
      </w:r>
    </w:p>
    <w:p w:rsidR="00000000" w:rsidDel="00000000" w:rsidP="00000000" w:rsidRDefault="00000000" w:rsidRPr="00000000" w14:paraId="00000006">
      <w:pPr>
        <w:ind w:right="-72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right="-72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Dunkirk ….Page 158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right="-72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The Blitz  ….Page 164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right="-72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The Battle of Britain ….Page 162-63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right="-720" w:hanging="360"/>
        <w:rPr>
          <w:rFonts w:ascii="Quicksand" w:cs="Quicksand" w:eastAsia="Quicksand" w:hAnsi="Quicksand"/>
          <w:u w:val="non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D Day ….Page 198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-72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Activity 1</w:t>
      </w:r>
    </w:p>
    <w:p w:rsidR="00000000" w:rsidDel="00000000" w:rsidP="00000000" w:rsidRDefault="00000000" w:rsidRPr="00000000" w14:paraId="0000000D">
      <w:pPr>
        <w:ind w:right="-72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Consider the evidence of the Dominant Narrative of resilience, persistence, heroism in a just war against a barbaric enemy.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and write about the following elements using the evidence to support your observations.</w:t>
      </w:r>
    </w:p>
    <w:p w:rsidR="00000000" w:rsidDel="00000000" w:rsidP="00000000" w:rsidRDefault="00000000" w:rsidRPr="00000000" w14:paraId="0000000E">
      <w:pPr>
        <w:ind w:right="-72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40"/>
        <w:gridCol w:w="5340"/>
        <w:tblGridChange w:id="0">
          <w:tblGrid>
            <w:gridCol w:w="4740"/>
            <w:gridCol w:w="5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right="-72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Dunkirk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0" w:right="-72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The Blitz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left="360" w:right="-72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The Battle of Britain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0" w:right="-72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 Day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240" w:lineRule="auto"/>
        <w:ind w:right="-720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right="-720"/>
        <w:rPr>
          <w:rFonts w:ascii="Quicksand" w:cs="Quicksand" w:eastAsia="Quicksand" w:hAnsi="Quicksand"/>
          <w:b w:val="1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b w:val="1"/>
          <w:sz w:val="24"/>
          <w:szCs w:val="24"/>
          <w:rtl w:val="0"/>
        </w:rPr>
        <w:t xml:space="preserve">Year 8 Assessment Thresholds</w:t>
      </w:r>
    </w:p>
    <w:tbl>
      <w:tblPr>
        <w:tblStyle w:val="Table2"/>
        <w:tblW w:w="101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5"/>
        <w:gridCol w:w="2145"/>
        <w:gridCol w:w="2220"/>
        <w:gridCol w:w="2130"/>
        <w:gridCol w:w="2130"/>
        <w:tblGridChange w:id="0">
          <w:tblGrid>
            <w:gridCol w:w="1545"/>
            <w:gridCol w:w="2145"/>
            <w:gridCol w:w="2220"/>
            <w:gridCol w:w="2130"/>
            <w:gridCol w:w="2130"/>
          </w:tblGrid>
        </w:tblGridChange>
      </w:tblGrid>
      <w:tr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Quicksand" w:cs="Quicksand" w:eastAsia="Quicksand" w:hAnsi="Quicksand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16"/>
                <w:szCs w:val="16"/>
                <w:rtl w:val="0"/>
              </w:rPr>
              <w:t xml:space="preserve">Emerging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Quicksand" w:cs="Quicksand" w:eastAsia="Quicksand" w:hAnsi="Quicksand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16"/>
                <w:szCs w:val="16"/>
                <w:rtl w:val="0"/>
              </w:rPr>
              <w:t xml:space="preserve">Developing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Quicksand" w:cs="Quicksand" w:eastAsia="Quicksand" w:hAnsi="Quicksand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16"/>
                <w:szCs w:val="16"/>
                <w:rtl w:val="0"/>
              </w:rPr>
              <w:t xml:space="preserve">Securing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Quicksand" w:cs="Quicksand" w:eastAsia="Quicksand" w:hAnsi="Quicksand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16"/>
                <w:szCs w:val="16"/>
                <w:rtl w:val="0"/>
              </w:rPr>
              <w:t xml:space="preserve">Excelling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Quicksand" w:cs="Quicksand" w:eastAsia="Quicksand" w:hAnsi="Quicksand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16"/>
                <w:szCs w:val="16"/>
                <w:rtl w:val="0"/>
              </w:rPr>
              <w:t xml:space="preserve">AO1 Key features of different times</w:t>
            </w:r>
          </w:p>
        </w:tc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spacing w:line="240" w:lineRule="auto"/>
              <w:ind w:left="180"/>
              <w:rPr>
                <w:rFonts w:ascii="Quicksand" w:cs="Quicksand" w:eastAsia="Quicksand" w:hAnsi="Quicksand"/>
                <w:sz w:val="14"/>
                <w:szCs w:val="1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14"/>
                <w:szCs w:val="14"/>
                <w:rtl w:val="0"/>
              </w:rPr>
              <w:t xml:space="preserve">Can describe a time period by giving some facts or examples.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line="240" w:lineRule="auto"/>
              <w:ind w:left="180"/>
              <w:rPr>
                <w:rFonts w:ascii="Quicksand" w:cs="Quicksand" w:eastAsia="Quicksand" w:hAnsi="Quicksand"/>
                <w:sz w:val="14"/>
                <w:szCs w:val="1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14"/>
                <w:szCs w:val="14"/>
                <w:rtl w:val="0"/>
              </w:rPr>
              <w:t xml:space="preserve">Can use some accurate knowledge to try to write an explanation. 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pacing w:line="240" w:lineRule="auto"/>
              <w:ind w:left="180"/>
              <w:rPr>
                <w:rFonts w:ascii="Quicksand" w:cs="Quicksand" w:eastAsia="Quicksand" w:hAnsi="Quicksand"/>
                <w:sz w:val="14"/>
                <w:szCs w:val="1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14"/>
                <w:szCs w:val="14"/>
                <w:rtl w:val="0"/>
              </w:rPr>
              <w:t xml:space="preserve">Uses some historical key words.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line="240" w:lineRule="auto"/>
              <w:ind w:left="180"/>
              <w:rPr>
                <w:rFonts w:ascii="Quicksand" w:cs="Quicksand" w:eastAsia="Quicksand" w:hAnsi="Quicksand"/>
                <w:sz w:val="14"/>
                <w:szCs w:val="1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14"/>
                <w:szCs w:val="14"/>
                <w:rtl w:val="0"/>
              </w:rPr>
              <w:t xml:space="preserve">Has some understanding of chronology.</w:t>
            </w:r>
          </w:p>
        </w:tc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spacing w:line="240" w:lineRule="auto"/>
              <w:ind w:left="180"/>
              <w:rPr>
                <w:rFonts w:ascii="Quicksand" w:cs="Quicksand" w:eastAsia="Quicksand" w:hAnsi="Quicksand"/>
                <w:sz w:val="14"/>
                <w:szCs w:val="1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14"/>
                <w:szCs w:val="14"/>
                <w:rtl w:val="0"/>
              </w:rPr>
              <w:t xml:space="preserve">Can explain the characteristics of a time period with some examples and may mention some key features.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rFonts w:ascii="Quicksand" w:cs="Quicksand" w:eastAsia="Quicksand" w:hAnsi="Quicksand"/>
                <w:sz w:val="14"/>
                <w:szCs w:val="1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14"/>
                <w:szCs w:val="14"/>
                <w:rtl w:val="0"/>
              </w:rPr>
              <w:t xml:space="preserve">Can select and use accurate knowledge to support their arguments. 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rFonts w:ascii="Quicksand" w:cs="Quicksand" w:eastAsia="Quicksand" w:hAnsi="Quicksand"/>
                <w:sz w:val="14"/>
                <w:szCs w:val="1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14"/>
                <w:szCs w:val="14"/>
                <w:rtl w:val="0"/>
              </w:rPr>
              <w:t xml:space="preserve">Uses some historical key words.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rFonts w:ascii="Quicksand" w:cs="Quicksand" w:eastAsia="Quicksand" w:hAnsi="Quicksand"/>
                <w:sz w:val="14"/>
                <w:szCs w:val="1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14"/>
                <w:szCs w:val="14"/>
                <w:rtl w:val="0"/>
              </w:rPr>
              <w:t xml:space="preserve">Has a good understanding of chronology.</w:t>
            </w:r>
          </w:p>
        </w:tc>
        <w:tc>
          <w:tcPr/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line="240" w:lineRule="auto"/>
              <w:ind w:left="180"/>
              <w:rPr>
                <w:rFonts w:ascii="Quicksand" w:cs="Quicksand" w:eastAsia="Quicksand" w:hAnsi="Quicksand"/>
                <w:sz w:val="14"/>
                <w:szCs w:val="1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14"/>
                <w:szCs w:val="14"/>
                <w:rtl w:val="0"/>
              </w:rPr>
              <w:t xml:space="preserve">Can define key features to analyse characteristics of a period, with detailed examples.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line="240" w:lineRule="auto"/>
              <w:ind w:left="180"/>
              <w:rPr>
                <w:rFonts w:ascii="Quicksand" w:cs="Quicksand" w:eastAsia="Quicksand" w:hAnsi="Quicksand"/>
                <w:sz w:val="14"/>
                <w:szCs w:val="1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14"/>
                <w:szCs w:val="14"/>
                <w:rtl w:val="0"/>
              </w:rPr>
              <w:t xml:space="preserve">Can select, organise and use a range of accurate knowledge effectively in order to support their explanation and arguments.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line="240" w:lineRule="auto"/>
              <w:ind w:left="180"/>
              <w:rPr>
                <w:rFonts w:ascii="Quicksand" w:cs="Quicksand" w:eastAsia="Quicksand" w:hAnsi="Quicksand"/>
                <w:sz w:val="14"/>
                <w:szCs w:val="1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14"/>
                <w:szCs w:val="14"/>
                <w:rtl w:val="0"/>
              </w:rPr>
              <w:t xml:space="preserve">May think beyond the period, using own knowledge.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line="240" w:lineRule="auto"/>
              <w:ind w:left="180"/>
              <w:rPr>
                <w:rFonts w:ascii="Quicksand" w:cs="Quicksand" w:eastAsia="Quicksand" w:hAnsi="Quicksand"/>
                <w:sz w:val="14"/>
                <w:szCs w:val="1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14"/>
                <w:szCs w:val="14"/>
                <w:rtl w:val="0"/>
              </w:rPr>
              <w:t xml:space="preserve">Uses relevant historical key words. 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line="240" w:lineRule="auto"/>
              <w:ind w:left="180"/>
              <w:rPr>
                <w:rFonts w:ascii="Quicksand" w:cs="Quicksand" w:eastAsia="Quicksand" w:hAnsi="Quicksand"/>
                <w:sz w:val="14"/>
                <w:szCs w:val="1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14"/>
                <w:szCs w:val="14"/>
                <w:rtl w:val="0"/>
              </w:rPr>
              <w:t xml:space="preserve">Confident understanding of chronology.</w:t>
            </w:r>
          </w:p>
        </w:tc>
        <w:tc>
          <w:tcPr/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line="240" w:lineRule="auto"/>
              <w:ind w:left="180"/>
              <w:rPr>
                <w:rFonts w:ascii="Quicksand" w:cs="Quicksand" w:eastAsia="Quicksand" w:hAnsi="Quicksand"/>
                <w:sz w:val="14"/>
                <w:szCs w:val="1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14"/>
                <w:szCs w:val="14"/>
                <w:rtl w:val="0"/>
              </w:rPr>
              <w:t xml:space="preserve">Can confidently define key features to analyse characteristics of period, with detailed examples.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line="240" w:lineRule="auto"/>
              <w:ind w:left="180"/>
              <w:rPr>
                <w:rFonts w:ascii="Quicksand" w:cs="Quicksand" w:eastAsia="Quicksand" w:hAnsi="Quicksand"/>
                <w:sz w:val="14"/>
                <w:szCs w:val="1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14"/>
                <w:szCs w:val="14"/>
                <w:rtl w:val="0"/>
              </w:rPr>
              <w:t xml:space="preserve">Selects, organises and uses a wide range of accurate knowledge effectively in order to support their analyses and arguments.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line="240" w:lineRule="auto"/>
              <w:ind w:left="180"/>
              <w:rPr>
                <w:rFonts w:ascii="Quicksand" w:cs="Quicksand" w:eastAsia="Quicksand" w:hAnsi="Quicksand"/>
                <w:sz w:val="14"/>
                <w:szCs w:val="1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14"/>
                <w:szCs w:val="14"/>
                <w:rtl w:val="0"/>
              </w:rPr>
              <w:t xml:space="preserve">Thinks beyond the period studied, using own knowledge.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line="240" w:lineRule="auto"/>
              <w:ind w:left="180"/>
              <w:rPr>
                <w:rFonts w:ascii="Quicksand" w:cs="Quicksand" w:eastAsia="Quicksand" w:hAnsi="Quicksand"/>
                <w:sz w:val="14"/>
                <w:szCs w:val="1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14"/>
                <w:szCs w:val="14"/>
                <w:rtl w:val="0"/>
              </w:rPr>
              <w:t xml:space="preserve">Confidently uses historical key words to support analysis.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line="240" w:lineRule="auto"/>
              <w:ind w:left="180"/>
              <w:rPr>
                <w:rFonts w:ascii="Quicksand" w:cs="Quicksand" w:eastAsia="Quicksand" w:hAnsi="Quicksand"/>
                <w:sz w:val="14"/>
                <w:szCs w:val="1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14"/>
                <w:szCs w:val="14"/>
                <w:rtl w:val="0"/>
              </w:rPr>
              <w:t xml:space="preserve">Detailed understanding of chronology.</w:t>
            </w:r>
          </w:p>
        </w:tc>
      </w:tr>
    </w:tbl>
    <w:p w:rsidR="00000000" w:rsidDel="00000000" w:rsidP="00000000" w:rsidRDefault="00000000" w:rsidRPr="00000000" w14:paraId="0000002D">
      <w:pPr>
        <w:spacing w:line="240" w:lineRule="auto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right="-720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Quicksand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widowControl w:val="0"/>
      <w:spacing w:line="276" w:lineRule="auto"/>
      <w:ind w:left="-900" w:right="-810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4586288" cy="703231"/>
          <wp:effectExtent b="0" l="0" r="0" t="0"/>
          <wp:docPr descr="Screen Shot 2014-06-26 at 09.00.35.png" id="1" name="image1.png"/>
          <a:graphic>
            <a:graphicData uri="http://schemas.openxmlformats.org/drawingml/2006/picture">
              <pic:pic>
                <pic:nvPicPr>
                  <pic:cNvPr descr="Screen Shot 2014-06-26 at 09.00.35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86288" cy="7032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